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DF74" w14:textId="3F55E695" w:rsidR="000411A2" w:rsidRPr="00CB0275" w:rsidRDefault="00CB0275" w:rsidP="00CB0275">
      <w:pPr>
        <w:spacing w:after="40" w:line="320" w:lineRule="auto"/>
        <w:jc w:val="center"/>
        <w:rPr>
          <w:rFonts w:ascii="Cambria" w:hAnsi="Cambria"/>
          <w:b/>
          <w:color w:val="1F3864"/>
        </w:rPr>
      </w:pPr>
      <w:r w:rsidRPr="00CB0275">
        <w:rPr>
          <w:rFonts w:ascii="Cambria" w:hAnsi="Cambria"/>
          <w:b/>
          <w:color w:val="1F3864"/>
        </w:rPr>
        <w:t>BANCO MUNDIAL  ·  OFICINA BOLIVIA</w:t>
      </w:r>
    </w:p>
    <w:p w14:paraId="3FDA8A17" w14:textId="77777777" w:rsidR="00C409DA" w:rsidRPr="00CB0275" w:rsidRDefault="00C409DA" w:rsidP="00CB0275">
      <w:pPr>
        <w:pBdr>
          <w:bottom w:val="single" w:sz="6" w:space="6" w:color="1F3864"/>
        </w:pBdr>
        <w:spacing w:after="120" w:line="320" w:lineRule="auto"/>
        <w:jc w:val="center"/>
        <w:rPr>
          <w:rFonts w:ascii="Cambria" w:hAnsi="Cambria"/>
          <w:i/>
          <w:color w:val="555555"/>
          <w:sz w:val="20"/>
        </w:rPr>
      </w:pPr>
      <w:r w:rsidRPr="00CB0275">
        <w:rPr>
          <w:rFonts w:ascii="Cambria" w:hAnsi="Cambria"/>
          <w:i/>
          <w:color w:val="555555"/>
          <w:sz w:val="20"/>
        </w:rPr>
        <w:t>Agricultural Public Expenditure Review Bolivia 2026</w:t>
      </w:r>
    </w:p>
    <w:p w14:paraId="1C14DF76" w14:textId="056A1B07" w:rsidR="000411A2" w:rsidRPr="00C409DA" w:rsidRDefault="000411A2" w:rsidP="00C409DA">
      <w:pPr>
        <w:spacing w:after="0" w:line="40" w:lineRule="auto"/>
        <w:jc w:val="center"/>
        <w:rPr>
          <w:rFonts w:ascii="Cambria" w:hAnsi="Cambria"/>
          <w:sz w:val="2"/>
        </w:rPr>
      </w:pPr>
    </w:p>
    <w:p w14:paraId="1C14DF77" w14:textId="77777777" w:rsidR="000411A2" w:rsidRPr="00CB0275" w:rsidRDefault="00430EAA" w:rsidP="00CB0275">
      <w:pPr>
        <w:spacing w:before="480" w:after="480" w:line="320" w:lineRule="auto"/>
        <w:jc w:val="right"/>
        <w:rPr>
          <w:rFonts w:ascii="Cambria" w:hAnsi="Cambria"/>
          <w:color w:val="000000"/>
          <w:sz w:val="22"/>
        </w:rPr>
      </w:pPr>
      <w:r w:rsidRPr="00CB0275">
        <w:rPr>
          <w:rFonts w:ascii="Cambria" w:hAnsi="Cambria"/>
          <w:color w:val="000000"/>
          <w:sz w:val="22"/>
        </w:rPr>
        <w:t>La Paz, [FECHA]</w:t>
      </w:r>
    </w:p>
    <w:p w14:paraId="6A850182" w14:textId="77777777" w:rsidR="00B47895" w:rsidRPr="00C409DA" w:rsidRDefault="00B47895" w:rsidP="00C409DA">
      <w:pPr>
        <w:spacing w:after="0" w:line="280" w:lineRule="auto"/>
        <w:rPr>
          <w:rFonts w:ascii="Cambria" w:hAnsi="Cambria"/>
          <w:b/>
          <w:sz w:val="22"/>
        </w:rPr>
      </w:pPr>
      <w:r w:rsidRPr="00C409DA">
        <w:rPr>
          <w:rFonts w:ascii="Cambria" w:hAnsi="Cambria"/>
          <w:b/>
          <w:sz w:val="22"/>
        </w:rPr>
        <w:t>Señor(a) Responsable de la Unidad de Transparencia</w:t>
      </w:r>
    </w:p>
    <w:p w14:paraId="3B37D7B7" w14:textId="77777777" w:rsidR="00B47895" w:rsidRPr="00C409DA" w:rsidRDefault="00B47895" w:rsidP="00C409DA">
      <w:pPr>
        <w:spacing w:after="0" w:line="280" w:lineRule="auto"/>
        <w:rPr>
          <w:rFonts w:ascii="Cambria" w:hAnsi="Cambria"/>
          <w:sz w:val="22"/>
        </w:rPr>
      </w:pPr>
      <w:r w:rsidRPr="00C409DA">
        <w:rPr>
          <w:rFonts w:ascii="Cambria" w:hAnsi="Cambria"/>
          <w:sz w:val="22"/>
        </w:rPr>
        <w:t>Ministerio de Economía y Finanzas Públicas</w:t>
      </w:r>
    </w:p>
    <w:p w14:paraId="26007BA1" w14:textId="77777777" w:rsidR="00B47895" w:rsidRPr="00C409DA" w:rsidRDefault="00B47895" w:rsidP="00C409DA">
      <w:pPr>
        <w:spacing w:after="0" w:line="280" w:lineRule="auto"/>
        <w:rPr>
          <w:rFonts w:ascii="Cambria" w:hAnsi="Cambria"/>
          <w:sz w:val="22"/>
        </w:rPr>
      </w:pPr>
      <w:r w:rsidRPr="00C409DA">
        <w:rPr>
          <w:rFonts w:ascii="Cambria" w:hAnsi="Cambria"/>
          <w:sz w:val="22"/>
        </w:rPr>
        <w:t>Edificio Palacio de Comunicaciones</w:t>
      </w:r>
    </w:p>
    <w:p w14:paraId="239E17BA" w14:textId="77777777" w:rsidR="00B47895" w:rsidRPr="00C409DA" w:rsidRDefault="00B47895" w:rsidP="00C409DA">
      <w:pPr>
        <w:spacing w:after="0" w:line="280" w:lineRule="auto"/>
        <w:rPr>
          <w:rFonts w:ascii="Cambria" w:hAnsi="Cambria"/>
          <w:sz w:val="22"/>
        </w:rPr>
      </w:pPr>
      <w:r w:rsidRPr="00C409DA">
        <w:rPr>
          <w:rFonts w:ascii="Cambria" w:hAnsi="Cambria"/>
          <w:sz w:val="22"/>
        </w:rPr>
        <w:t>Av. Mariscal Santa Cruz esquina calle Oruro</w:t>
      </w:r>
    </w:p>
    <w:p w14:paraId="1C14DF78" w14:textId="68FF4244" w:rsidR="000411A2" w:rsidRPr="00C409DA" w:rsidRDefault="00B47895" w:rsidP="00C409DA">
      <w:pPr>
        <w:spacing w:after="280" w:line="280" w:lineRule="auto"/>
        <w:rPr>
          <w:rFonts w:ascii="Cambria" w:hAnsi="Cambria"/>
          <w:sz w:val="22"/>
        </w:rPr>
      </w:pPr>
      <w:r w:rsidRPr="00C409DA">
        <w:rPr>
          <w:rFonts w:ascii="Cambria" w:hAnsi="Cambria"/>
          <w:sz w:val="22"/>
        </w:rPr>
        <w:t>La Paz — Estado Plurinacional de Bolivia</w:t>
      </w:r>
    </w:p>
    <w:p w14:paraId="1C14DF79" w14:textId="77777777" w:rsidR="000411A2" w:rsidRPr="00C409DA" w:rsidRDefault="00430EAA" w:rsidP="00C409DA">
      <w:pPr>
        <w:spacing w:after="40" w:line="320" w:lineRule="auto"/>
        <w:rPr>
          <w:rFonts w:ascii="Cambria" w:hAnsi="Cambria"/>
          <w:i/>
          <w:color w:val="555555"/>
          <w:sz w:val="20"/>
        </w:rPr>
      </w:pPr>
      <w:r w:rsidRPr="00C409DA">
        <w:rPr>
          <w:rFonts w:ascii="Cambria" w:hAnsi="Cambria"/>
          <w:i/>
          <w:color w:val="555555"/>
          <w:sz w:val="20"/>
        </w:rPr>
        <w:t>Con copia a:</w:t>
      </w:r>
    </w:p>
    <w:p w14:paraId="1C14DF7A" w14:textId="77777777" w:rsidR="000411A2" w:rsidRPr="00C409DA" w:rsidRDefault="00430EAA" w:rsidP="00C409DA">
      <w:pPr>
        <w:spacing w:after="0"/>
        <w:ind w:left="280"/>
        <w:rPr>
          <w:rFonts w:ascii="Cambria" w:hAnsi="Cambria"/>
          <w:color w:val="555555"/>
          <w:sz w:val="20"/>
        </w:rPr>
      </w:pPr>
      <w:r w:rsidRPr="00C409DA">
        <w:rPr>
          <w:rFonts w:ascii="Cambria" w:hAnsi="Cambria"/>
          <w:color w:val="555555"/>
          <w:sz w:val="20"/>
        </w:rPr>
        <w:t>Dirección General de Sistemas de Gestión de Información Fiscal (DGSGIF)</w:t>
      </w:r>
    </w:p>
    <w:p w14:paraId="1C14DF7B" w14:textId="77777777" w:rsidR="000411A2" w:rsidRPr="00C409DA" w:rsidRDefault="00430EAA" w:rsidP="00C409DA">
      <w:pPr>
        <w:spacing w:after="0"/>
        <w:ind w:left="280"/>
        <w:rPr>
          <w:rFonts w:ascii="Cambria" w:hAnsi="Cambria"/>
          <w:color w:val="555555"/>
          <w:sz w:val="20"/>
        </w:rPr>
      </w:pPr>
      <w:r w:rsidRPr="00C409DA">
        <w:rPr>
          <w:rFonts w:ascii="Cambria" w:hAnsi="Cambria"/>
          <w:color w:val="555555"/>
          <w:sz w:val="20"/>
        </w:rPr>
        <w:t>Viceministerio de Presupuesto y Contabilidad Fiscal</w:t>
      </w:r>
    </w:p>
    <w:p w14:paraId="1C14DF7C" w14:textId="77777777" w:rsidR="000411A2" w:rsidRPr="00C409DA" w:rsidRDefault="00430EAA" w:rsidP="00C409DA">
      <w:pPr>
        <w:spacing w:after="0"/>
        <w:ind w:left="280"/>
        <w:rPr>
          <w:rFonts w:ascii="Cambria" w:hAnsi="Cambria"/>
          <w:color w:val="555555"/>
          <w:sz w:val="20"/>
        </w:rPr>
      </w:pPr>
      <w:r w:rsidRPr="00C409DA">
        <w:rPr>
          <w:rFonts w:ascii="Cambria" w:hAnsi="Cambria"/>
          <w:color w:val="555555"/>
          <w:sz w:val="20"/>
        </w:rPr>
        <w:t>Viceministerio de Inversión Pública y Financiamiento Externo (VIPFE)</w:t>
      </w:r>
    </w:p>
    <w:p w14:paraId="1C14DF7D" w14:textId="77777777" w:rsidR="000411A2" w:rsidRPr="00C409DA" w:rsidRDefault="00430EAA" w:rsidP="00C409DA">
      <w:pPr>
        <w:spacing w:after="0"/>
        <w:ind w:left="280"/>
        <w:rPr>
          <w:rFonts w:ascii="Cambria" w:hAnsi="Cambria"/>
          <w:color w:val="555555"/>
          <w:sz w:val="20"/>
        </w:rPr>
      </w:pPr>
      <w:r w:rsidRPr="00C409DA">
        <w:rPr>
          <w:rFonts w:ascii="Cambria" w:hAnsi="Cambria"/>
          <w:color w:val="555555"/>
          <w:sz w:val="20"/>
        </w:rPr>
        <w:t>Ministerio de Desarrollo Rural y Tierras (MDRyT)</w:t>
      </w:r>
    </w:p>
    <w:p w14:paraId="1C14DF7E" w14:textId="77777777" w:rsidR="000411A2" w:rsidRPr="00C409DA" w:rsidRDefault="00430EAA" w:rsidP="00C409DA">
      <w:pPr>
        <w:spacing w:before="400" w:after="400" w:line="280" w:lineRule="auto"/>
        <w:ind w:left="720" w:hanging="720"/>
        <w:jc w:val="both"/>
        <w:rPr>
          <w:rFonts w:ascii="Cambria" w:hAnsi="Cambria"/>
          <w:sz w:val="22"/>
        </w:rPr>
      </w:pPr>
      <w:r w:rsidRPr="00C409DA">
        <w:rPr>
          <w:rFonts w:ascii="Cambria" w:hAnsi="Cambria"/>
          <w:b/>
          <w:sz w:val="22"/>
        </w:rPr>
        <w:t>REF.:</w:t>
      </w:r>
      <w:r w:rsidRPr="00C409DA">
        <w:rPr>
          <w:rFonts w:ascii="Cambria" w:hAnsi="Cambria"/>
          <w:sz w:val="22"/>
        </w:rPr>
        <w:t xml:space="preserve"> Solicitud formal de acceso a información pública sobre ejecución presupuestaria del sector agropecuario, 2009–2024, en el marco de la actualización del Agricultural Public Expenditure Review (APER) Bolivia. Marco legal invocado: Artículo 21.6 CPE + DS N° 28168/2005.</w:t>
      </w:r>
    </w:p>
    <w:p w14:paraId="1C14DF7F" w14:textId="77777777" w:rsidR="000411A2" w:rsidRPr="00C409DA" w:rsidRDefault="00430EAA" w:rsidP="00C409DA">
      <w:pPr>
        <w:spacing w:before="360" w:after="240" w:line="320" w:lineRule="auto"/>
        <w:rPr>
          <w:rFonts w:ascii="Cambria" w:hAnsi="Cambria"/>
          <w:sz w:val="22"/>
        </w:rPr>
      </w:pPr>
      <w:r w:rsidRPr="00C409DA">
        <w:rPr>
          <w:rFonts w:ascii="Cambria" w:hAnsi="Cambria"/>
          <w:sz w:val="22"/>
        </w:rPr>
        <w:t>Distinguido(a) Señor(a):</w:t>
      </w:r>
    </w:p>
    <w:p w14:paraId="1C14DF80" w14:textId="77777777" w:rsidR="000411A2" w:rsidRPr="00C409DA" w:rsidRDefault="00430EAA" w:rsidP="00C409DA">
      <w:pPr>
        <w:spacing w:line="320" w:lineRule="auto"/>
        <w:ind w:firstLine="560"/>
        <w:jc w:val="both"/>
        <w:rPr>
          <w:rFonts w:ascii="Cambria" w:hAnsi="Cambria"/>
          <w:sz w:val="22"/>
        </w:rPr>
      </w:pPr>
      <w:r w:rsidRPr="00C409DA">
        <w:rPr>
          <w:rFonts w:ascii="Cambria" w:hAnsi="Cambria"/>
          <w:sz w:val="22"/>
        </w:rPr>
        <w:t>Mediante la presente, la Oficina del Banco Mundial en Bolivia, con base en el derecho fundamental de acceso a la información pública consagrado en el Artículo 21, numeral 6, de la Constitución Política del Estado Plurinacional de Bolivia, y de conformidad con el Decreto Supremo N° 28168 de 17 de mayo de 2005, solicita formalmente el acceso a la información presupuestaria que se detalla a continuación. Esta información será utilizada exclusivamente en la actualización del “Agricultural Public Expenditure Rev</w:t>
      </w:r>
      <w:r w:rsidRPr="00C409DA">
        <w:rPr>
          <w:rFonts w:ascii="Cambria" w:hAnsi="Cambria"/>
          <w:sz w:val="22"/>
        </w:rPr>
        <w:t>iew Bolivia”, estudio que el Banco Mundial realiza conjuntamente con contrapartes nacionales desde el año 2011 (Informe del Banco Mundial N° 59696-BO) y cuya siguiente edición está prevista para 2026, con el propósito de aportar evidencia robusta al diseño de políticas públicas para el sector rural y agropecuario boliviano.</w:t>
      </w:r>
    </w:p>
    <w:p w14:paraId="1C14DF81" w14:textId="77777777" w:rsidR="000411A2" w:rsidRPr="00E5756B" w:rsidRDefault="00430EAA" w:rsidP="00E5756B">
      <w:pPr>
        <w:pStyle w:val="Heading2"/>
        <w:spacing w:before="360" w:after="120" w:line="280" w:lineRule="auto"/>
        <w:rPr>
          <w:rFonts w:ascii="Cambria" w:hAnsi="Cambria"/>
          <w:b/>
          <w:color w:val="1F3864"/>
          <w:sz w:val="24"/>
        </w:rPr>
      </w:pPr>
      <w:bookmarkStart w:id="0" w:name="objeto-de-la-solicitud"/>
      <w:r w:rsidRPr="00E5756B">
        <w:rPr>
          <w:rFonts w:ascii="Cambria" w:hAnsi="Cambria"/>
          <w:b/>
          <w:color w:val="1F3864"/>
          <w:sz w:val="24"/>
        </w:rPr>
        <w:t>1. Objeto de la solicitud</w:t>
      </w:r>
    </w:p>
    <w:p w14:paraId="1C14DF82"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 xml:space="preserve">Información de ejecución presupuestaria y financiera de las entidades del Estado relacionadas con el sector agropecuario, rural y desarrollo productivo, para el período fiscal </w:t>
      </w:r>
      <w:r w:rsidRPr="00E5756B">
        <w:rPr>
          <w:rFonts w:ascii="Cambria" w:hAnsi="Cambria"/>
          <w:color w:val="000000"/>
          <w:sz w:val="22"/>
        </w:rPr>
        <w:lastRenderedPageBreak/>
        <w:t>2009 al 2024 (16 gestiones fiscales), registrada en el Sistema de Gestión Pública (SIGEP) o en su sistema antecesor SIGMA. Esta información cierra la brecha con el APER 2011, que cubrió 1996–2008 con datos proporcionados por este mismo Ministerio.</w:t>
      </w:r>
    </w:p>
    <w:p w14:paraId="1C14DF83" w14:textId="77777777" w:rsidR="000411A2" w:rsidRPr="00E5756B" w:rsidRDefault="00430EAA" w:rsidP="00E5756B">
      <w:pPr>
        <w:pStyle w:val="Heading2"/>
        <w:spacing w:before="360" w:after="120" w:line="280" w:lineRule="auto"/>
        <w:rPr>
          <w:rFonts w:ascii="Cambria" w:hAnsi="Cambria"/>
          <w:b/>
          <w:color w:val="1F3864"/>
          <w:sz w:val="24"/>
        </w:rPr>
      </w:pPr>
      <w:bookmarkStart w:id="1" w:name="detalle-de-la-información-solicitada"/>
      <w:bookmarkEnd w:id="0"/>
      <w:r w:rsidRPr="00E5756B">
        <w:rPr>
          <w:rFonts w:ascii="Cambria" w:hAnsi="Cambria"/>
          <w:b/>
          <w:color w:val="1F3864"/>
          <w:sz w:val="24"/>
        </w:rPr>
        <w:t>2. Detalle de la información solicitada</w:t>
      </w:r>
    </w:p>
    <w:p w14:paraId="1C14DF84" w14:textId="77777777" w:rsidR="000411A2" w:rsidRPr="00E5756B" w:rsidRDefault="00430EAA" w:rsidP="00E5756B">
      <w:pPr>
        <w:pStyle w:val="Heading3"/>
        <w:spacing w:before="240" w:line="280" w:lineRule="auto"/>
        <w:rPr>
          <w:rFonts w:ascii="Cambria" w:hAnsi="Cambria"/>
          <w:b/>
          <w:i/>
          <w:color w:val="2E5294"/>
          <w:sz w:val="22"/>
        </w:rPr>
      </w:pPr>
      <w:bookmarkStart w:id="2" w:name="X4c08993ba0a9a7eb2a83c9177d1ddf9f7e9b6dd"/>
      <w:r w:rsidRPr="00E5756B">
        <w:rPr>
          <w:rFonts w:ascii="Cambria" w:hAnsi="Cambria"/>
          <w:b/>
          <w:i/>
          <w:color w:val="2E5294"/>
          <w:sz w:val="22"/>
        </w:rPr>
        <w:t>2.1 Ejecución presupuestaria por entidad — prioridad alta</w:t>
      </w:r>
    </w:p>
    <w:p w14:paraId="1C14DF85"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Presupuesto inicial, vigente y ejecutado, expresado en moneda nacional (bolivianos), desagregado simultáneamente por las siguientes dimensiones para las gestiones 2009 a 2024:</w:t>
      </w:r>
    </w:p>
    <w:p w14:paraId="1C14DF86"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Gestión fiscal (año)</w:t>
      </w:r>
    </w:p>
    <w:p w14:paraId="1C14DF87"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Entidad del sector público (código SIGEP y nombre)</w:t>
      </w:r>
    </w:p>
    <w:p w14:paraId="1C14DF88"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Apertura programática (programa, subprograma, proyecto, actividad)</w:t>
      </w:r>
    </w:p>
    <w:p w14:paraId="1C14DF89"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Fuente de financiamiento (TGN, coparticipación tributaria, IDH, recursos específicos, crédito externo, donación externa, crédito interno, otros)</w:t>
      </w:r>
    </w:p>
    <w:p w14:paraId="1C14DF8A"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Tipo de gasto (corriente / capital / servicios personales / activos reales / transferencias)</w:t>
      </w:r>
    </w:p>
    <w:p w14:paraId="1C14DF8B"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Clasificador funcional UDAPE / COFOG</w:t>
      </w:r>
    </w:p>
    <w:p w14:paraId="1C14DF8C"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Nivel de gobierno (nacional / departamental / municipal)</w:t>
      </w:r>
    </w:p>
    <w:p w14:paraId="1C14DF8D"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Cobertura geográfica (departamento / municipio si aplica)</w:t>
      </w:r>
    </w:p>
    <w:p w14:paraId="1C14DF8E"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Entidades prioritarias:</w:t>
      </w:r>
    </w:p>
    <w:p w14:paraId="1C14DF8F"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Ministerio de Desarrollo Rural y Tierras (MDRyT) y sus viceministerios</w:t>
      </w:r>
    </w:p>
    <w:p w14:paraId="1C14DF90"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Instituto Nacional de Innovación Agropecuaria y Forestal (INIAF)</w:t>
      </w:r>
    </w:p>
    <w:p w14:paraId="1C14DF91"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Servicio Nacional de Sanidad Agropecuaria e Inocuidad Alimentaria (SENASAG)</w:t>
      </w:r>
    </w:p>
    <w:p w14:paraId="1C14DF92"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Empresa de Apoyo a la Producción de Alimentos (EMAPA)</w:t>
      </w:r>
    </w:p>
    <w:p w14:paraId="1C14DF93"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Instituto Nacional de Reforma Agraria (INRA)</w:t>
      </w:r>
    </w:p>
    <w:p w14:paraId="1C14DF94"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Autoridad de Fiscalización y Control Social de Bosques y Tierra (ABT)</w:t>
      </w:r>
    </w:p>
    <w:p w14:paraId="1C14DF95"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Servicio Nacional de Áreas Protegidas (SERNAP)</w:t>
      </w:r>
    </w:p>
    <w:p w14:paraId="1C14DF96"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Fondo de Desarrollo Indígena (FDI)</w:t>
      </w:r>
    </w:p>
    <w:p w14:paraId="1C14DF97"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Banco de Desarrollo Productivo (BDP-SAM)</w:t>
      </w:r>
    </w:p>
    <w:p w14:paraId="1C14DF98"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Servicio Nacional de Riego (SENARI)</w:t>
      </w:r>
    </w:p>
    <w:p w14:paraId="1C14DF99"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Unidades Ejecutoras de programas específicos (ver sección 2.2)</w:t>
      </w:r>
    </w:p>
    <w:p w14:paraId="1C14DF9A"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Toda otra entidad o programa asociado funcionalmente al sector agropecuario no listado pero que figure en el clasificador institucional SIGEP como sector “Desarrollo Agropecuario, Pecuario, Forestal, Pesca y Afines”</w:t>
      </w:r>
    </w:p>
    <w:p w14:paraId="1C14DF9B" w14:textId="77777777" w:rsidR="000411A2" w:rsidRPr="00E5756B" w:rsidRDefault="00430EAA" w:rsidP="00E5756B">
      <w:pPr>
        <w:pStyle w:val="Heading3"/>
        <w:spacing w:before="240" w:line="280" w:lineRule="auto"/>
        <w:rPr>
          <w:rFonts w:ascii="Cambria" w:hAnsi="Cambria"/>
          <w:b/>
          <w:i/>
          <w:color w:val="2E5294"/>
          <w:sz w:val="22"/>
        </w:rPr>
      </w:pPr>
      <w:bookmarkStart w:id="3" w:name="Xa5b56dce8e6c3243d9e2f37a3b83b2d8efe5a57"/>
      <w:bookmarkEnd w:id="2"/>
      <w:r w:rsidRPr="00E5756B">
        <w:rPr>
          <w:rFonts w:ascii="Cambria" w:hAnsi="Cambria"/>
          <w:b/>
          <w:i/>
          <w:color w:val="2E5294"/>
          <w:sz w:val="22"/>
        </w:rPr>
        <w:t>2.2 Ejecución por programa o proyecto — prioridad alta</w:t>
      </w:r>
    </w:p>
    <w:p w14:paraId="1C14DF9C"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Tabla de ejecución anual (presupuesto vigente y ejecutado, meta física y ejecución física) para los programas y proyectos insignia:</w:t>
      </w:r>
    </w:p>
    <w:p w14:paraId="1C14DF9D"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Nacional de Riego / Mi Riego</w:t>
      </w:r>
    </w:p>
    <w:p w14:paraId="1C14DF9E"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lastRenderedPageBreak/>
        <w:t>Más Inversión para el Agua (MIAGUA I, II, III, IV, V)</w:t>
      </w:r>
    </w:p>
    <w:p w14:paraId="1C14DF9F"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“Nuestro Pozo” (perforación de pozos)</w:t>
      </w:r>
    </w:p>
    <w:p w14:paraId="1C14DFA0"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de Alianzas Rurales (PAR I, PAR II, PAR III — BM)</w:t>
      </w:r>
    </w:p>
    <w:p w14:paraId="1C14DFA1"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CRIAR (I, II, III) — BID</w:t>
      </w:r>
    </w:p>
    <w:p w14:paraId="1C14DFA2"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EMPODERAR / PICAR</w:t>
      </w:r>
    </w:p>
    <w:p w14:paraId="1C14DFA3"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ACCESOS Rurales (FIDA)</w:t>
      </w:r>
    </w:p>
    <w:p w14:paraId="1C14DFA4"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Nacional de Desarrollo Agropecuario (PND Agro)</w:t>
      </w:r>
    </w:p>
    <w:p w14:paraId="1C14DFA5"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Nacional de Producción de Trigo</w:t>
      </w:r>
    </w:p>
    <w:p w14:paraId="1C14DFA6"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Nacional de Pesca y Acuicultura (DS 4632/2021)</w:t>
      </w:r>
    </w:p>
    <w:p w14:paraId="1C14DFA7"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Nacional de Establecimiento y Fortalecimiento de la Base Productiva Primaria del Cultivo de Soya (DS 5381/2025)</w:t>
      </w:r>
    </w:p>
    <w:p w14:paraId="1C14DFA8"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Seguro Agrario Universal “Pachamama” (PNSAU/Minka)</w:t>
      </w:r>
    </w:p>
    <w:p w14:paraId="1C14DFA9"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Programa Bolivia Cambia Evo Cumple (componente rural)</w:t>
      </w:r>
    </w:p>
    <w:p w14:paraId="1C14DFAA"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Transferencias productivas a EMAPA (por año y destino)</w:t>
      </w:r>
    </w:p>
    <w:p w14:paraId="1C14DFAB"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Transferencias de capital al BDP (por año)</w:t>
      </w:r>
    </w:p>
    <w:p w14:paraId="1C14DFAC"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Todo otro programa sectorial con ejecución ≥ Bs 10 millones anuales</w:t>
      </w:r>
    </w:p>
    <w:p w14:paraId="1C14DFAD" w14:textId="77777777" w:rsidR="000411A2" w:rsidRPr="00E5756B" w:rsidRDefault="00430EAA" w:rsidP="00E5756B">
      <w:pPr>
        <w:pStyle w:val="Heading3"/>
        <w:spacing w:before="240" w:line="280" w:lineRule="auto"/>
        <w:rPr>
          <w:rFonts w:ascii="Cambria" w:hAnsi="Cambria"/>
          <w:b/>
          <w:i/>
          <w:color w:val="2E5294"/>
          <w:sz w:val="22"/>
        </w:rPr>
      </w:pPr>
      <w:bookmarkStart w:id="4" w:name="X1bce49c13177cc2de5d81b2948cbfd72cfcd432"/>
      <w:bookmarkEnd w:id="3"/>
      <w:r w:rsidRPr="00E5756B">
        <w:rPr>
          <w:rFonts w:ascii="Cambria" w:hAnsi="Cambria"/>
          <w:b/>
          <w:i/>
          <w:color w:val="2E5294"/>
          <w:sz w:val="22"/>
        </w:rPr>
        <w:t>2.3 Información complementaria de gestión — prioridad media</w:t>
      </w:r>
    </w:p>
    <w:p w14:paraId="1C14DFAE"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Clasificadores presupuestarios vigentes por gestión fiscal 2009–2024</w:t>
      </w:r>
    </w:p>
    <w:p w14:paraId="1C14DFAF"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Manual del clasificador UDAPE-FAM y su mapeo a COFOG-04.2 vigente</w:t>
      </w:r>
    </w:p>
    <w:p w14:paraId="1C14DFB0"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Auditoría de completitud del SIGEP por entidad agropecuaria y año (qué entidades registraron información completa vs. preliminar o rezagada)</w:t>
      </w:r>
    </w:p>
    <w:p w14:paraId="1C14DFB1"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Memorias institucionales, rendiciones públicas de cuentas (RPC) iniciales y finales del MDRyT correspondientes a las gestiones 2015, 2016, 2017, 2018, 2020, 2022 y 2023 (años sin publicación pública actual en el portal institucional)</w:t>
      </w:r>
    </w:p>
    <w:p w14:paraId="1C14DFB2"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Planes Estratégicos Institucionales (PEI) vigentes de MDRyT, INIAF, SENASAG, INRA e IPD-PACU</w:t>
      </w:r>
    </w:p>
    <w:p w14:paraId="1C14DFB3"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Listado de proyectos de inversión pública aprobados por el VIPFE en el sector agropecuario 2009–2024 (código SISIN, monto aprobado, monto ejecutado, estado)</w:t>
      </w:r>
    </w:p>
    <w:p w14:paraId="1C14DFB4" w14:textId="77777777" w:rsidR="000411A2" w:rsidRPr="00E5756B" w:rsidRDefault="00430EAA" w:rsidP="00E5756B">
      <w:pPr>
        <w:pStyle w:val="Heading3"/>
        <w:spacing w:before="240" w:line="280" w:lineRule="auto"/>
        <w:rPr>
          <w:rFonts w:ascii="Cambria" w:hAnsi="Cambria"/>
          <w:b/>
          <w:i/>
          <w:color w:val="2E5294"/>
          <w:sz w:val="22"/>
        </w:rPr>
      </w:pPr>
      <w:bookmarkStart w:id="5" w:name="X012981b99865100349555e2df9b98285520ba7d"/>
      <w:bookmarkEnd w:id="4"/>
      <w:r w:rsidRPr="00E5756B">
        <w:rPr>
          <w:rFonts w:ascii="Cambria" w:hAnsi="Cambria"/>
          <w:b/>
          <w:i/>
          <w:color w:val="2E5294"/>
          <w:sz w:val="22"/>
        </w:rPr>
        <w:t>2.4 Información sobre crédito productivo — prioridad media</w:t>
      </w:r>
    </w:p>
    <w:p w14:paraId="1C14DFB5"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Cartera del Banco de Desarrollo Productivo (BDP) desagregada por año, departamento, sector económico (CIIU/CAEB) y tamaño de productor, 2009–2024</w:t>
      </w:r>
    </w:p>
    <w:p w14:paraId="1C14DFB6"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Transferencias públicas al BDP y al Fondo para la Revolución Industrial Productiva (FINPRO) por año y destino, 2009–2024</w:t>
      </w:r>
    </w:p>
    <w:p w14:paraId="1C14DFB7"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Montos garantizados por el Fondo de Apoyo al Complejo Productivo Lácteo (PROLECHE) y Fondo Productivo Social (FPS), si aplica, 2009–2024</w:t>
      </w:r>
    </w:p>
    <w:p w14:paraId="1C14DFB8" w14:textId="77777777" w:rsidR="000411A2" w:rsidRPr="00E5756B" w:rsidRDefault="00430EAA" w:rsidP="00E5756B">
      <w:pPr>
        <w:pStyle w:val="Heading3"/>
        <w:spacing w:before="240" w:line="280" w:lineRule="auto"/>
        <w:rPr>
          <w:rFonts w:ascii="Cambria" w:hAnsi="Cambria"/>
          <w:b/>
          <w:i/>
          <w:color w:val="2E5294"/>
          <w:sz w:val="22"/>
        </w:rPr>
      </w:pPr>
      <w:bookmarkStart w:id="6" w:name="X11d0d32bcf953253bd133d528c3e3a799a89909"/>
      <w:bookmarkEnd w:id="5"/>
      <w:r w:rsidRPr="00E5756B">
        <w:rPr>
          <w:rFonts w:ascii="Cambria" w:hAnsi="Cambria"/>
          <w:b/>
          <w:i/>
          <w:color w:val="2E5294"/>
          <w:sz w:val="22"/>
        </w:rPr>
        <w:t>2.5 Información sobre subsidios al sector — prioridad media</w:t>
      </w:r>
    </w:p>
    <w:p w14:paraId="1C14DFB9"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Subsidio al diésel destinado al sector agropecuario, expresado en litros y en bolivianos anuales, 2009–2024 (YPFB)</w:t>
      </w:r>
    </w:p>
    <w:p w14:paraId="1C14DFBA"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lastRenderedPageBreak/>
        <w:t>Transferencias de EMAPA por compras garantizadas a productores (trigo, soya, maíz, arroz, quinua, otros), 2009–2024</w:t>
      </w:r>
    </w:p>
    <w:p w14:paraId="1C14DFBB"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Subsidios a la urea (Planta de Amoníaco-Urea de Bulo Bulo), distribución por productor/departamento, 2017–2024</w:t>
      </w:r>
    </w:p>
    <w:p w14:paraId="1C14DFBC" w14:textId="77777777" w:rsidR="000411A2" w:rsidRPr="00E5756B" w:rsidRDefault="00430EAA" w:rsidP="00E5756B">
      <w:pPr>
        <w:pStyle w:val="Heading2"/>
        <w:spacing w:before="360" w:after="120" w:line="280" w:lineRule="auto"/>
        <w:rPr>
          <w:rFonts w:ascii="Cambria" w:hAnsi="Cambria"/>
          <w:b/>
          <w:color w:val="1F3864"/>
          <w:sz w:val="24"/>
        </w:rPr>
      </w:pPr>
      <w:bookmarkStart w:id="7" w:name="formato-solicitado"/>
      <w:bookmarkEnd w:id="1"/>
      <w:bookmarkEnd w:id="6"/>
      <w:r w:rsidRPr="00E5756B">
        <w:rPr>
          <w:rFonts w:ascii="Cambria" w:hAnsi="Cambria"/>
          <w:b/>
          <w:color w:val="1F3864"/>
          <w:sz w:val="24"/>
        </w:rPr>
        <w:t>3. Formato solicitado</w:t>
      </w:r>
    </w:p>
    <w:p w14:paraId="1C14DFBD"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Se solicita que la información sea proporcionada preferentemente en formato de archivo Microsoft Excel (.xlsx) o CSV, en estructura tabular (una fila por combinación única de entidad/programa/año/tipo de gasto), acorde al siguiente esquema mínimo de columnas:</w:t>
      </w:r>
    </w:p>
    <w:p w14:paraId="1C14DFBE" w14:textId="77777777" w:rsidR="000411A2" w:rsidRPr="00C30AE1" w:rsidRDefault="00430EAA" w:rsidP="00C30AE1">
      <w:pPr>
        <w:spacing w:before="160" w:after="160" w:line="260" w:lineRule="auto"/>
        <w:ind w:left="280"/>
        <w:rPr>
          <w:rFonts w:ascii="Consolas" w:hAnsi="Consolas" w:cs="Consolas"/>
          <w:color w:val="333333"/>
          <w:sz w:val="18"/>
        </w:rPr>
      </w:pPr>
      <w:r w:rsidRPr="00C30AE1">
        <w:rPr>
          <w:rFonts w:ascii="Consolas" w:hAnsi="Consolas" w:cs="Consolas"/>
          <w:color w:val="333333"/>
          <w:sz w:val="18"/>
        </w:rPr>
        <w:t>gestion | subsector | nivel | cod_departamento | cod_entidad | nombre_entidad | programa | subprograma | proyecto | actividad | cod_funcional_udape | nombre_funcion | cod_udape_fam | nombre_udape_fam | tipo_gasto | presupuesto_aprobado | presupuesto_vigente | presupuesto_ejecutado | fuente_tgn_total | fuente_tgn_coparticipacion | fuente_tgn_idh | fuente_tgn_otro | fuente_recursos_especificos | fuente_credito_externo | fuente_donacion_externa | fuente_credito_interno | fuente_otros | gasto_corriente | gasto_</w:t>
      </w:r>
      <w:r w:rsidRPr="00C30AE1">
        <w:rPr>
          <w:rFonts w:ascii="Consolas" w:hAnsi="Consolas" w:cs="Consolas"/>
          <w:color w:val="333333"/>
          <w:sz w:val="18"/>
        </w:rPr>
        <w:t>capital</w:t>
      </w:r>
    </w:p>
    <w:p w14:paraId="1C14DFBF"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Este formato es idéntico al utilizado en el estudio “Agricultural Public Expenditure Review Bolivia 1996–2008” (Informe Banco Mundial N° 59696-BO, 2011), cuyos datos fueron compartidos oportunamente por la propia Dirección de Contabilidad Pública de este Ministerio.</w:t>
      </w:r>
    </w:p>
    <w:p w14:paraId="1C14DFC0"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Alternativamente, se puede proporcionar la información mediante acceso directo con credenciales de sólo lectura al portal SIGEP o a la base de datos institucional (opción preferida para reducir costos de reproducción y asegurar la integridad del traspaso).</w:t>
      </w:r>
    </w:p>
    <w:p w14:paraId="1C14DFC1" w14:textId="77777777" w:rsidR="000411A2" w:rsidRPr="00E5756B" w:rsidRDefault="00430EAA" w:rsidP="00E5756B">
      <w:pPr>
        <w:pStyle w:val="Heading2"/>
        <w:spacing w:before="360" w:after="120" w:line="280" w:lineRule="auto"/>
        <w:rPr>
          <w:rFonts w:ascii="Cambria" w:hAnsi="Cambria"/>
          <w:b/>
          <w:color w:val="1F3864"/>
          <w:sz w:val="24"/>
        </w:rPr>
      </w:pPr>
      <w:bookmarkStart w:id="8" w:name="propósito-y-justificación"/>
      <w:bookmarkEnd w:id="7"/>
      <w:r w:rsidRPr="00E5756B">
        <w:rPr>
          <w:rFonts w:ascii="Cambria" w:hAnsi="Cambria"/>
          <w:b/>
          <w:color w:val="1F3864"/>
          <w:sz w:val="24"/>
        </w:rPr>
        <w:t>4. Propósito y justificación</w:t>
      </w:r>
    </w:p>
    <w:p w14:paraId="1C14DFC2"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La información solicitada será utilizada exclusivamente para:</w:t>
      </w:r>
    </w:p>
    <w:p w14:paraId="1C14DFC3"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 xml:space="preserve">Actualizar el </w:t>
      </w:r>
      <w:r w:rsidRPr="00E5756B">
        <w:rPr>
          <w:rFonts w:ascii="Cambria" w:hAnsi="Cambria"/>
          <w:color w:val="000000"/>
          <w:sz w:val="22"/>
        </w:rPr>
        <w:t>“Agricultural Public Expenditure Review” (APER) realizado en 2011 por el Banco Mundial con datos proporcionados por el MEFP, cerrando la brecha temporal 2009–2024.</w:t>
      </w:r>
    </w:p>
    <w:p w14:paraId="1C14DFC4"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Elaborar el reporte técnico “Bolivia Agricultural Public Expenditure Review 2026” encargado por la Oficina del Banco Mundial en Bolivia como insumo para el diseño de políticas públicas del sector rural en el marco del Modelo Económico Social Comunitario Productivo y los Planes de Desarrollo Económico y Social (PDES).</w:t>
      </w:r>
    </w:p>
    <w:p w14:paraId="1C14DFC5"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Evaluar la eficiencia, equidad y efectividad del gasto público agropecuario mediante metodologías internacionales estándar — Producer Support Estimates (PSE) de la OCDE, Statistics on Public Expenditure for Economic Development (SPEED) de IFPRI, Análisis Envolvente de Datos (DEA) — a nivel nacional y departamental.</w:t>
      </w:r>
    </w:p>
    <w:p w14:paraId="1C14DFC6"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 xml:space="preserve">Informar decisiones de política pública orientadas a mejorar la seguridad alimentaria, productividad y sostenibilidad del sector agropecuario boliviano, incluidas las </w:t>
      </w:r>
      <w:r w:rsidRPr="00E5756B">
        <w:rPr>
          <w:rFonts w:ascii="Cambria" w:hAnsi="Cambria"/>
          <w:color w:val="000000"/>
          <w:sz w:val="22"/>
        </w:rPr>
        <w:lastRenderedPageBreak/>
        <w:t>intervenciones financiadas por el propio Banco Mundial (PAR III, ACCESOS Rurales) y por contrapartes de cooperación internacional (BID-CRIAR, FIDA-PICAR, CAF-MIAGUA).</w:t>
      </w:r>
    </w:p>
    <w:p w14:paraId="1C14DFC7"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El estudio y sus datos anonimizados estarán públicamente disponibles al término del proyecto, promoviendo la transparencia y el uso ciudadano de la información fiscal, en espíritu del DS 28168.</w:t>
      </w:r>
    </w:p>
    <w:p w14:paraId="1C14DFC8" w14:textId="77777777" w:rsidR="000411A2" w:rsidRPr="00E5756B" w:rsidRDefault="00430EAA" w:rsidP="00E5756B">
      <w:pPr>
        <w:pStyle w:val="Heading2"/>
        <w:spacing w:before="360" w:after="120" w:line="280" w:lineRule="auto"/>
        <w:rPr>
          <w:rFonts w:ascii="Cambria" w:hAnsi="Cambria"/>
          <w:b/>
          <w:color w:val="1F3864"/>
          <w:sz w:val="24"/>
        </w:rPr>
      </w:pPr>
      <w:bookmarkStart w:id="9" w:name="carácter-no-reservado-de-la-información"/>
      <w:bookmarkEnd w:id="8"/>
      <w:r w:rsidRPr="00E5756B">
        <w:rPr>
          <w:rFonts w:ascii="Cambria" w:hAnsi="Cambria"/>
          <w:b/>
          <w:color w:val="1F3864"/>
          <w:sz w:val="24"/>
        </w:rPr>
        <w:t>5. Carácter no reservado de la información</w:t>
      </w:r>
    </w:p>
    <w:p w14:paraId="1C14DFC9" w14:textId="77777777" w:rsidR="000411A2" w:rsidRPr="00E5756B" w:rsidRDefault="00430EAA" w:rsidP="00E5756B">
      <w:pPr>
        <w:spacing w:after="80" w:line="320" w:lineRule="auto"/>
        <w:jc w:val="both"/>
        <w:rPr>
          <w:rFonts w:ascii="Cambria" w:hAnsi="Cambria"/>
          <w:color w:val="000000"/>
          <w:sz w:val="22"/>
        </w:rPr>
      </w:pPr>
      <w:r w:rsidRPr="00E5756B">
        <w:rPr>
          <w:rFonts w:ascii="Cambria" w:hAnsi="Cambria"/>
          <w:color w:val="000000"/>
          <w:sz w:val="22"/>
        </w:rPr>
        <w:t>La información solicitada corresponde a ejecución presupuestaria histórica que es rutinariamente publicada por este Ministerio en documentos de acceso público, incluyendo:</w:t>
      </w:r>
    </w:p>
    <w:p w14:paraId="1C14DFCA"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Boletín Económico: Informe Fiscal (publicación anual 2015–2024)</w:t>
      </w:r>
    </w:p>
    <w:p w14:paraId="1C14DFCB"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Boletín Económico de Estadísticas Fiscales de las ETA y UP</w:t>
      </w:r>
    </w:p>
    <w:p w14:paraId="1C14DFCC"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Presupuesto Ciudadano (publicación anual)</w:t>
      </w:r>
    </w:p>
    <w:p w14:paraId="1C14DFCD"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Vitrina Presupuestaria (múltiples ediciones)</w:t>
      </w:r>
    </w:p>
    <w:p w14:paraId="1C14DFCE" w14:textId="77777777" w:rsidR="000411A2" w:rsidRPr="00E5756B" w:rsidRDefault="00430EAA" w:rsidP="00C30AE1">
      <w:pPr>
        <w:pStyle w:val="ListBullet"/>
        <w:spacing w:after="60" w:line="280" w:lineRule="auto"/>
        <w:ind w:left="480"/>
        <w:rPr>
          <w:rFonts w:ascii="Cambria" w:hAnsi="Cambria"/>
          <w:color w:val="000000"/>
          <w:sz w:val="22"/>
        </w:rPr>
      </w:pPr>
      <w:r w:rsidRPr="00E5756B">
        <w:rPr>
          <w:rFonts w:ascii="Cambria" w:hAnsi="Cambria"/>
          <w:color w:val="000000"/>
          <w:sz w:val="22"/>
        </w:rPr>
        <w:t>Reportes de ejecución presupuestaria de la DGAA</w:t>
      </w:r>
    </w:p>
    <w:p w14:paraId="1C14DFCF"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Por tanto, no se encuentra clasificada como información secreta, reservada o confidencial según lo dispuesto por los artículos 18 y 19 del DS 28168. Lo que se solicita es el detalle granular de series ya publicadas en forma agregada, así como los clasificadores que permiten reconstruir esas agregaciones.</w:t>
      </w:r>
    </w:p>
    <w:p w14:paraId="1C14DFD0" w14:textId="77777777" w:rsidR="000411A2" w:rsidRPr="00E5756B" w:rsidRDefault="00430EAA" w:rsidP="00E5756B">
      <w:pPr>
        <w:pStyle w:val="Heading2"/>
        <w:spacing w:before="360" w:after="120" w:line="280" w:lineRule="auto"/>
        <w:rPr>
          <w:rFonts w:ascii="Cambria" w:hAnsi="Cambria"/>
          <w:b/>
          <w:color w:val="1F3864"/>
          <w:sz w:val="24"/>
        </w:rPr>
      </w:pPr>
      <w:bookmarkStart w:id="10" w:name="pago-de-costos-de-reproducción"/>
      <w:bookmarkEnd w:id="9"/>
      <w:r w:rsidRPr="00E5756B">
        <w:rPr>
          <w:rFonts w:ascii="Cambria" w:hAnsi="Cambria"/>
          <w:b/>
          <w:color w:val="1F3864"/>
          <w:sz w:val="24"/>
        </w:rPr>
        <w:t>6. Pago de costos de reproducción</w:t>
      </w:r>
    </w:p>
    <w:p w14:paraId="1C14DFD1"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De acuerdo al Artículo 11 del DS 28168, los costos razonables asociados a la reproducción y entrega de la información (soporte digital, envío) serán cubiertos por la Oficina del Banco Mundial en Bolivia. Se agradece sean comunicados previamente al envío.</w:t>
      </w:r>
    </w:p>
    <w:p w14:paraId="1C14DFD2" w14:textId="77777777" w:rsidR="000411A2" w:rsidRPr="00E5756B" w:rsidRDefault="00430EAA" w:rsidP="00E5756B">
      <w:pPr>
        <w:pStyle w:val="Heading2"/>
        <w:spacing w:before="360" w:after="120" w:line="280" w:lineRule="auto"/>
        <w:rPr>
          <w:rFonts w:ascii="Cambria" w:hAnsi="Cambria"/>
          <w:b/>
          <w:color w:val="1F3864"/>
          <w:sz w:val="24"/>
        </w:rPr>
      </w:pPr>
      <w:bookmarkStart w:id="11" w:name="plazo-de-respuesta"/>
      <w:bookmarkEnd w:id="10"/>
      <w:r w:rsidRPr="00E5756B">
        <w:rPr>
          <w:rFonts w:ascii="Cambria" w:hAnsi="Cambria"/>
          <w:b/>
          <w:color w:val="1F3864"/>
          <w:sz w:val="24"/>
        </w:rPr>
        <w:t>7. Plazo de respuesta</w:t>
      </w:r>
    </w:p>
    <w:p w14:paraId="1C14DFD3" w14:textId="77777777" w:rsidR="000411A2" w:rsidRPr="00E5756B" w:rsidRDefault="00430EAA" w:rsidP="00E5756B">
      <w:pPr>
        <w:spacing w:line="320" w:lineRule="auto"/>
        <w:ind w:firstLine="560"/>
        <w:jc w:val="both"/>
        <w:rPr>
          <w:rFonts w:ascii="Cambria" w:hAnsi="Cambria"/>
          <w:color w:val="000000"/>
          <w:sz w:val="22"/>
        </w:rPr>
      </w:pPr>
      <w:r w:rsidRPr="00E5756B">
        <w:rPr>
          <w:rFonts w:ascii="Cambria" w:hAnsi="Cambria"/>
          <w:color w:val="000000"/>
          <w:sz w:val="22"/>
        </w:rPr>
        <w:t>De conformidad con el Artículo 13 del DS 28168, el plazo legal máximo de respuesta es de quince (15) días hábiles contados desde la recepción de esta solicitud. Dado el volumen y naturaleza técnica de la información solicitada, se ofrece coordinación directa con los equipos técnicos de la DGSGIF, el VIPFE y la Dirección de Contabilidad Pública para facilitar el traspaso; y se agradece cualquier aclaración o acotamiento de alcance que se considere necesario durante el trámite.</w:t>
      </w:r>
    </w:p>
    <w:p w14:paraId="1C14DFD4" w14:textId="77777777" w:rsidR="000411A2" w:rsidRPr="00E5756B" w:rsidRDefault="00430EAA" w:rsidP="00E5756B">
      <w:pPr>
        <w:pStyle w:val="Heading2"/>
        <w:spacing w:before="360" w:after="120" w:line="280" w:lineRule="auto"/>
        <w:rPr>
          <w:rFonts w:ascii="Cambria" w:hAnsi="Cambria"/>
          <w:b/>
          <w:color w:val="1F3864"/>
          <w:sz w:val="24"/>
        </w:rPr>
      </w:pPr>
      <w:bookmarkStart w:id="12" w:name="datos-de-contacto-del-solicitante"/>
      <w:bookmarkEnd w:id="11"/>
      <w:r w:rsidRPr="00E5756B">
        <w:rPr>
          <w:rFonts w:ascii="Cambria" w:hAnsi="Cambria"/>
          <w:b/>
          <w:color w:val="1F3864"/>
          <w:sz w:val="24"/>
        </w:rPr>
        <w:t>8. Datos de contacto del solicitante</w:t>
      </w:r>
    </w:p>
    <w:p w14:paraId="1C14DFD5"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Institución:</w:t>
      </w:r>
      <w:r w:rsidRPr="007B293B">
        <w:rPr>
          <w:rFonts w:ascii="Cambria" w:hAnsi="Cambria"/>
          <w:color w:val="000000"/>
          <w:sz w:val="22"/>
        </w:rPr>
        <w:t xml:space="preserve"> Banco Mundial — Oficina Bolivia</w:t>
      </w:r>
    </w:p>
    <w:p w14:paraId="1C14DFD6"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Firmante:</w:t>
      </w:r>
      <w:r w:rsidRPr="007B293B">
        <w:rPr>
          <w:rFonts w:ascii="Cambria" w:hAnsi="Cambria"/>
          <w:color w:val="000000"/>
          <w:sz w:val="22"/>
        </w:rPr>
        <w:t xml:space="preserve"> [NOMBRE COMPLETO]</w:t>
      </w:r>
    </w:p>
    <w:p w14:paraId="1C14DFD7"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lastRenderedPageBreak/>
        <w:t>Cargo:</w:t>
      </w:r>
      <w:r w:rsidRPr="007B293B">
        <w:rPr>
          <w:rFonts w:ascii="Cambria" w:hAnsi="Cambria"/>
          <w:color w:val="000000"/>
          <w:sz w:val="22"/>
        </w:rPr>
        <w:t xml:space="preserve"> </w:t>
      </w:r>
      <w:r w:rsidRPr="007B293B">
        <w:rPr>
          <w:rFonts w:ascii="Cambria" w:hAnsi="Cambria"/>
          <w:color w:val="000000"/>
          <w:sz w:val="22"/>
        </w:rPr>
        <w:t>[CARGO — p.ej. Representante Residente / Economista Sectorial / Oficial de Operaciones]</w:t>
      </w:r>
    </w:p>
    <w:p w14:paraId="1C14DFD8"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Correo:</w:t>
      </w:r>
      <w:r w:rsidRPr="007B293B">
        <w:rPr>
          <w:rFonts w:ascii="Cambria" w:hAnsi="Cambria"/>
          <w:color w:val="000000"/>
          <w:sz w:val="22"/>
        </w:rPr>
        <w:t xml:space="preserve"> [correo @worldbank.org del firmante]</w:t>
      </w:r>
    </w:p>
    <w:p w14:paraId="1C14DFD9"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Correo copia:</w:t>
      </w:r>
      <w:r w:rsidRPr="007B293B">
        <w:rPr>
          <w:rFonts w:ascii="Cambria" w:hAnsi="Cambria"/>
          <w:color w:val="000000"/>
          <w:sz w:val="22"/>
        </w:rPr>
        <w:t xml:space="preserve"> bolivia@worldbank.org</w:t>
      </w:r>
    </w:p>
    <w:p w14:paraId="1C14DFDA"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Teléfono:</w:t>
      </w:r>
      <w:r w:rsidRPr="007B293B">
        <w:rPr>
          <w:rFonts w:ascii="Cambria" w:hAnsi="Cambria"/>
          <w:color w:val="000000"/>
          <w:sz w:val="22"/>
        </w:rPr>
        <w:t xml:space="preserve"> [teléfono de la oficina BM Bolivia]</w:t>
      </w:r>
    </w:p>
    <w:p w14:paraId="1C14DFDB" w14:textId="77777777" w:rsidR="000411A2" w:rsidRPr="007B293B" w:rsidRDefault="00430EAA" w:rsidP="007B293B">
      <w:pPr>
        <w:spacing w:after="40" w:line="280" w:lineRule="auto"/>
        <w:rPr>
          <w:rFonts w:ascii="Cambria" w:hAnsi="Cambria"/>
          <w:color w:val="000000"/>
          <w:sz w:val="22"/>
        </w:rPr>
      </w:pPr>
      <w:r w:rsidRPr="007B293B">
        <w:rPr>
          <w:rFonts w:ascii="Cambria" w:hAnsi="Cambria"/>
          <w:b/>
          <w:color w:val="000000"/>
          <w:sz w:val="22"/>
        </w:rPr>
        <w:t>Dirección postal:</w:t>
      </w:r>
      <w:r w:rsidRPr="007B293B">
        <w:rPr>
          <w:rFonts w:ascii="Cambria" w:hAnsi="Cambria"/>
          <w:color w:val="000000"/>
          <w:sz w:val="22"/>
        </w:rPr>
        <w:t xml:space="preserve"> Banco Mundial — Oficina Bolivia, [dirección oficial en La Paz]</w:t>
      </w:r>
    </w:p>
    <w:p w14:paraId="1C14DFDC" w14:textId="77777777" w:rsidR="000411A2" w:rsidRPr="007B293B" w:rsidRDefault="00430EAA" w:rsidP="007B293B">
      <w:pPr>
        <w:spacing w:before="200" w:line="320" w:lineRule="auto"/>
        <w:ind w:firstLine="560"/>
        <w:jc w:val="both"/>
        <w:rPr>
          <w:rFonts w:ascii="Cambria" w:hAnsi="Cambria"/>
          <w:color w:val="000000"/>
          <w:sz w:val="22"/>
        </w:rPr>
      </w:pPr>
      <w:r w:rsidRPr="007B293B">
        <w:rPr>
          <w:rFonts w:ascii="Cambria" w:hAnsi="Cambria"/>
          <w:color w:val="000000"/>
          <w:sz w:val="22"/>
        </w:rPr>
        <w:t>Se solicita recibir la información preferentemente por correo electrónico o, en caso de volumen elevado, mediante enlace de descarga seguro, servicio de almacenamiento en la nube con acceso restringido, o dispositivo físico entregado en la Oficina del Banco Mundial en La Paz.</w:t>
      </w:r>
    </w:p>
    <w:p w14:paraId="1C14DFDD" w14:textId="77777777" w:rsidR="000411A2" w:rsidRPr="00E5756B" w:rsidRDefault="00430EAA" w:rsidP="00E5756B">
      <w:pPr>
        <w:pStyle w:val="Heading2"/>
        <w:spacing w:before="360" w:after="120" w:line="280" w:lineRule="auto"/>
        <w:rPr>
          <w:rFonts w:ascii="Cambria" w:hAnsi="Cambria"/>
          <w:b/>
          <w:color w:val="1F3864"/>
          <w:sz w:val="24"/>
        </w:rPr>
      </w:pPr>
      <w:bookmarkStart w:id="13" w:name="anexos"/>
      <w:bookmarkEnd w:id="12"/>
      <w:r w:rsidRPr="00E5756B">
        <w:rPr>
          <w:rFonts w:ascii="Cambria" w:hAnsi="Cambria"/>
          <w:b/>
          <w:color w:val="1F3864"/>
          <w:sz w:val="24"/>
        </w:rPr>
        <w:t>9. Anexos</w:t>
      </w:r>
    </w:p>
    <w:p w14:paraId="1C14DFDE" w14:textId="77777777" w:rsidR="000411A2" w:rsidRPr="007B293B" w:rsidRDefault="00430EAA" w:rsidP="007B293B">
      <w:pPr>
        <w:spacing w:before="120" w:after="120" w:line="320" w:lineRule="auto"/>
        <w:rPr>
          <w:rFonts w:ascii="Cambria" w:hAnsi="Cambria"/>
          <w:color w:val="000000"/>
          <w:sz w:val="22"/>
        </w:rPr>
      </w:pPr>
      <w:r w:rsidRPr="007B293B">
        <w:rPr>
          <w:rFonts w:ascii="Cambria" w:hAnsi="Cambria"/>
          <w:color w:val="000000"/>
          <w:sz w:val="22"/>
        </w:rPr>
        <w:t>Se adjuntan a esta solicitud:</w:t>
      </w:r>
    </w:p>
    <w:p w14:paraId="1C14DFE0" w14:textId="6887A825" w:rsidR="000411A2" w:rsidRPr="007B293B" w:rsidRDefault="00430EAA" w:rsidP="007B293B">
      <w:pPr>
        <w:spacing w:after="80" w:line="280" w:lineRule="auto"/>
        <w:ind w:left="560" w:hanging="560"/>
        <w:rPr>
          <w:rFonts w:ascii="Cambria" w:hAnsi="Cambria"/>
          <w:color w:val="000000"/>
          <w:sz w:val="22"/>
        </w:rPr>
      </w:pPr>
      <w:r w:rsidRPr="007B293B">
        <w:rPr>
          <w:rFonts w:ascii="Cambria" w:hAnsi="Cambria"/>
          <w:b/>
          <w:color w:val="000000"/>
          <w:sz w:val="22"/>
        </w:rPr>
        <w:t xml:space="preserve">Anexo </w:t>
      </w:r>
      <w:r w:rsidR="005F5514" w:rsidRPr="007B293B">
        <w:rPr>
          <w:rFonts w:ascii="Cambria" w:hAnsi="Cambria"/>
          <w:b/>
          <w:color w:val="000000"/>
          <w:sz w:val="22"/>
        </w:rPr>
        <w:t>A</w:t>
      </w:r>
      <w:r w:rsidRPr="007B293B">
        <w:rPr>
          <w:rFonts w:ascii="Cambria" w:hAnsi="Cambria"/>
          <w:b/>
          <w:color w:val="000000"/>
          <w:sz w:val="22"/>
        </w:rPr>
        <w:t>:</w:t>
      </w:r>
      <w:r w:rsidRPr="007B293B">
        <w:rPr>
          <w:rFonts w:ascii="Cambria" w:hAnsi="Cambria"/>
          <w:color w:val="000000"/>
          <w:sz w:val="22"/>
        </w:rPr>
        <w:t xml:space="preserve"> </w:t>
      </w:r>
      <w:r w:rsidRPr="007B293B">
        <w:rPr>
          <w:rFonts w:ascii="Cambria" w:hAnsi="Cambria"/>
          <w:color w:val="000000"/>
          <w:sz w:val="22"/>
        </w:rPr>
        <w:t>Portada del Informe WB APER 2011 (N° 59696-BO) como antecedente de colaboración institucional previa</w:t>
      </w:r>
    </w:p>
    <w:p w14:paraId="1C14DFE1" w14:textId="731C7CCE" w:rsidR="000411A2" w:rsidRPr="007B293B" w:rsidRDefault="00430EAA" w:rsidP="007B293B">
      <w:pPr>
        <w:spacing w:after="80" w:line="280" w:lineRule="auto"/>
        <w:ind w:left="560" w:hanging="560"/>
        <w:rPr>
          <w:rFonts w:ascii="Cambria" w:hAnsi="Cambria"/>
          <w:color w:val="000000"/>
          <w:sz w:val="22"/>
        </w:rPr>
      </w:pPr>
      <w:r w:rsidRPr="007B293B">
        <w:rPr>
          <w:rFonts w:ascii="Cambria" w:hAnsi="Cambria"/>
          <w:b/>
          <w:color w:val="000000"/>
          <w:sz w:val="22"/>
        </w:rPr>
        <w:t xml:space="preserve">Anexo </w:t>
      </w:r>
      <w:r w:rsidR="005F5514" w:rsidRPr="007B293B">
        <w:rPr>
          <w:rFonts w:ascii="Cambria" w:hAnsi="Cambria"/>
          <w:b/>
          <w:color w:val="000000"/>
          <w:sz w:val="22"/>
        </w:rPr>
        <w:t>B</w:t>
      </w:r>
      <w:r w:rsidRPr="007B293B">
        <w:rPr>
          <w:rFonts w:ascii="Cambria" w:hAnsi="Cambria"/>
          <w:b/>
          <w:color w:val="000000"/>
          <w:sz w:val="22"/>
        </w:rPr>
        <w:t>:</w:t>
      </w:r>
      <w:r w:rsidRPr="007B293B">
        <w:rPr>
          <w:rFonts w:ascii="Cambria" w:hAnsi="Cambria"/>
          <w:color w:val="000000"/>
          <w:sz w:val="22"/>
        </w:rPr>
        <w:t xml:space="preserve"> Listado técnico detallado de variables requeridas por dataset (disponible como archivo Excel por separado)</w:t>
      </w:r>
    </w:p>
    <w:p w14:paraId="1C14DFE2" w14:textId="699D14D4" w:rsidR="000411A2" w:rsidRPr="007B293B" w:rsidRDefault="00430EAA" w:rsidP="007B293B">
      <w:pPr>
        <w:spacing w:after="80" w:line="280" w:lineRule="auto"/>
        <w:ind w:left="560" w:hanging="560"/>
        <w:rPr>
          <w:rFonts w:ascii="Cambria" w:hAnsi="Cambria"/>
          <w:color w:val="000000"/>
          <w:sz w:val="22"/>
        </w:rPr>
      </w:pPr>
      <w:r w:rsidRPr="007B293B">
        <w:rPr>
          <w:rFonts w:ascii="Cambria" w:hAnsi="Cambria"/>
          <w:b/>
          <w:color w:val="000000"/>
          <w:sz w:val="22"/>
        </w:rPr>
        <w:t xml:space="preserve">Anexo </w:t>
      </w:r>
      <w:r w:rsidR="005F5514" w:rsidRPr="007B293B">
        <w:rPr>
          <w:rFonts w:ascii="Cambria" w:hAnsi="Cambria"/>
          <w:b/>
          <w:color w:val="000000"/>
          <w:sz w:val="22"/>
        </w:rPr>
        <w:t>C</w:t>
      </w:r>
      <w:r w:rsidRPr="007B293B">
        <w:rPr>
          <w:rFonts w:ascii="Cambria" w:hAnsi="Cambria"/>
          <w:b/>
          <w:color w:val="000000"/>
          <w:sz w:val="22"/>
        </w:rPr>
        <w:t>:</w:t>
      </w:r>
      <w:r w:rsidRPr="007B293B">
        <w:rPr>
          <w:rFonts w:ascii="Cambria" w:hAnsi="Cambria"/>
          <w:color w:val="000000"/>
          <w:sz w:val="22"/>
        </w:rPr>
        <w:t xml:space="preserve"> Acuerdo de uso de datos y confidencialidad del equipo técnico del Banco Mundial</w:t>
      </w:r>
    </w:p>
    <w:p w14:paraId="1C14DFE3" w14:textId="77777777" w:rsidR="000411A2" w:rsidRPr="00CB0275" w:rsidRDefault="00430EAA" w:rsidP="00CB0275">
      <w:pPr>
        <w:spacing w:after="120" w:line="320" w:lineRule="auto"/>
        <w:jc w:val="both"/>
        <w:rPr>
          <w:rFonts w:ascii="Cambria" w:hAnsi="Cambria"/>
          <w:sz w:val="22"/>
        </w:rPr>
      </w:pPr>
      <w:r w:rsidRPr="00430EAA">
        <w:rPr>
          <w:rFonts w:ascii="Cambria" w:hAnsi="Cambria"/>
          <w:noProof/>
          <w:sz w:val="22"/>
        </w:rPr>
        <w:pict w14:anchorId="75D9814E">
          <v:rect id="_x0000_i1025" alt="" style="width:431.95pt;height:.05pt;mso-width-percent:0;mso-height-percent:0;mso-width-percent:0;mso-height-percent:0" o:hrpct="923" o:hralign="center" o:hrstd="t" o:hr="t"/>
        </w:pict>
      </w:r>
    </w:p>
    <w:p w14:paraId="1C14DFE4" w14:textId="77777777" w:rsidR="000411A2" w:rsidRPr="007B293B" w:rsidRDefault="00430EAA" w:rsidP="007B293B">
      <w:pPr>
        <w:spacing w:before="480" w:after="360" w:line="320" w:lineRule="auto"/>
        <w:ind w:firstLine="560"/>
        <w:jc w:val="both"/>
        <w:rPr>
          <w:rFonts w:ascii="Cambria" w:hAnsi="Cambria"/>
          <w:color w:val="000000"/>
          <w:sz w:val="22"/>
        </w:rPr>
      </w:pPr>
      <w:r w:rsidRPr="007B293B">
        <w:rPr>
          <w:rFonts w:ascii="Cambria" w:hAnsi="Cambria"/>
          <w:color w:val="000000"/>
          <w:sz w:val="22"/>
        </w:rPr>
        <w:t>Sin otro particular, y reiterando el espíritu colaborativo que inspira esta solicitud — orientada a producir evidencia robusta para el diseño de políticas públicas en beneficio del sector rural boliviano — me despido agradeciendo su atención y pronta respuesta.</w:t>
      </w:r>
    </w:p>
    <w:p w14:paraId="1C14DFE5" w14:textId="77777777" w:rsidR="000411A2" w:rsidRPr="007B293B" w:rsidRDefault="00430EAA" w:rsidP="002028C0">
      <w:pPr>
        <w:spacing w:before="360" w:after="720" w:line="320" w:lineRule="auto"/>
        <w:rPr>
          <w:rFonts w:ascii="Cambria" w:hAnsi="Cambria"/>
          <w:color w:val="000000"/>
          <w:sz w:val="22"/>
        </w:rPr>
      </w:pPr>
      <w:r w:rsidRPr="007B293B">
        <w:rPr>
          <w:rFonts w:ascii="Cambria" w:hAnsi="Cambria"/>
          <w:color w:val="000000"/>
          <w:sz w:val="22"/>
        </w:rPr>
        <w:t>Atentamente,</w:t>
      </w:r>
    </w:p>
    <w:p w14:paraId="5481D397" w14:textId="77777777" w:rsidR="007B293B" w:rsidRPr="007B293B" w:rsidRDefault="007B293B" w:rsidP="002028C0">
      <w:pPr>
        <w:pBdr>
          <w:top w:val="single" w:sz="6" w:space="8" w:color="555555"/>
        </w:pBdr>
        <w:spacing w:after="0" w:line="260" w:lineRule="auto"/>
        <w:rPr>
          <w:rFonts w:ascii="Cambria" w:hAnsi="Cambria"/>
          <w:b/>
          <w:color w:val="000000"/>
          <w:sz w:val="22"/>
        </w:rPr>
      </w:pPr>
      <w:r w:rsidRPr="007B293B">
        <w:rPr>
          <w:rFonts w:ascii="Cambria" w:hAnsi="Cambria"/>
          <w:b/>
          <w:color w:val="000000"/>
          <w:sz w:val="22"/>
        </w:rPr>
        <w:t>[NOMBRE COMPLETO DEL FIRMANTE]</w:t>
      </w:r>
    </w:p>
    <w:p w14:paraId="6B58F4C8" w14:textId="77777777" w:rsidR="00C84AB0" w:rsidRPr="007B293B" w:rsidRDefault="00C84AB0" w:rsidP="007B293B">
      <w:pPr>
        <w:spacing w:after="0" w:line="260" w:lineRule="auto"/>
        <w:rPr>
          <w:rFonts w:ascii="Cambria" w:hAnsi="Cambria"/>
          <w:i/>
          <w:color w:val="333333"/>
          <w:sz w:val="22"/>
        </w:rPr>
      </w:pPr>
      <w:r w:rsidRPr="007B293B">
        <w:rPr>
          <w:rFonts w:ascii="Cambria" w:hAnsi="Cambria"/>
          <w:i/>
          <w:color w:val="333333"/>
          <w:sz w:val="22"/>
        </w:rPr>
        <w:t>[CARGO]</w:t>
      </w:r>
    </w:p>
    <w:p w14:paraId="66A82911" w14:textId="77777777" w:rsidR="00C84AB0" w:rsidRPr="007B293B" w:rsidRDefault="00C84AB0" w:rsidP="007B293B">
      <w:pPr>
        <w:spacing w:after="0" w:line="260" w:lineRule="auto"/>
        <w:rPr>
          <w:rFonts w:ascii="Cambria" w:hAnsi="Cambria"/>
          <w:color w:val="333333"/>
          <w:sz w:val="20"/>
        </w:rPr>
      </w:pPr>
      <w:r w:rsidRPr="007B293B">
        <w:rPr>
          <w:rFonts w:ascii="Cambria" w:hAnsi="Cambria"/>
          <w:color w:val="333333"/>
          <w:sz w:val="20"/>
        </w:rPr>
        <w:t>Banco Mundial — Oficina Bolivia</w:t>
      </w:r>
    </w:p>
    <w:p w14:paraId="1C14DFE6" w14:textId="5A64C360" w:rsidR="000411A2" w:rsidRPr="007B293B" w:rsidRDefault="00C84AB0" w:rsidP="007B293B">
      <w:pPr>
        <w:spacing w:after="0" w:line="260" w:lineRule="auto"/>
        <w:rPr>
          <w:rFonts w:ascii="Cambria" w:hAnsi="Cambria"/>
          <w:color w:val="555555"/>
          <w:sz w:val="20"/>
        </w:rPr>
      </w:pPr>
      <w:r w:rsidRPr="007B293B">
        <w:rPr>
          <w:rFonts w:ascii="Cambria" w:hAnsi="Cambria"/>
          <w:color w:val="555555"/>
          <w:sz w:val="20"/>
        </w:rPr>
        <w:t>[CORREO INSTITUCIONAL @worldbank.org]</w:t>
      </w:r>
      <w:bookmarkEnd w:id="13"/>
    </w:p>
    <w:sectPr w:rsidR="000411A2" w:rsidRPr="007B293B" w:rsidSect="00DE01E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53BB" w14:textId="77777777" w:rsidR="00430EAA" w:rsidRDefault="00430EAA" w:rsidP="00DE01E6">
      <w:pPr>
        <w:spacing w:after="0"/>
      </w:pPr>
      <w:r>
        <w:separator/>
      </w:r>
    </w:p>
  </w:endnote>
  <w:endnote w:type="continuationSeparator" w:id="0">
    <w:p w14:paraId="3FE7E7AA" w14:textId="77777777" w:rsidR="00430EAA" w:rsidRDefault="00430EAA" w:rsidP="00DE0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AEC4" w14:textId="77777777" w:rsidR="00DE01E6" w:rsidRDefault="00DE0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04A9" w14:textId="77777777" w:rsidR="00DE01E6" w:rsidRDefault="00DE0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2DDE" w14:textId="77777777" w:rsidR="00DE01E6" w:rsidRDefault="00DE0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CC46" w14:textId="77777777" w:rsidR="00430EAA" w:rsidRDefault="00430EAA" w:rsidP="00DE01E6">
      <w:pPr>
        <w:spacing w:after="0"/>
      </w:pPr>
      <w:r>
        <w:separator/>
      </w:r>
    </w:p>
  </w:footnote>
  <w:footnote w:type="continuationSeparator" w:id="0">
    <w:p w14:paraId="02D3FA17" w14:textId="77777777" w:rsidR="00430EAA" w:rsidRDefault="00430EAA" w:rsidP="00DE0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A9B7" w14:textId="77777777" w:rsidR="00DE01E6" w:rsidRDefault="00DE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C985" w14:textId="77777777" w:rsidR="00DE01E6" w:rsidRDefault="00DE0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060F" w14:textId="77777777" w:rsidR="00DE01E6" w:rsidRDefault="00DE0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C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0"/>
    <w:multiLevelType w:val="multilevel"/>
    <w:tmpl w:val="CF988D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FDFC3C9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711"/>
    <w:multiLevelType w:val="multilevel"/>
    <w:tmpl w:val="4E5A6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00A99731"/>
    <w:multiLevelType w:val="multilevel"/>
    <w:tmpl w:val="1E52A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394237071">
    <w:abstractNumId w:val="1"/>
  </w:num>
  <w:num w:numId="2" w16cid:durableId="1609897356">
    <w:abstractNumId w:val="2"/>
  </w:num>
  <w:num w:numId="3" w16cid:durableId="201191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38268">
    <w:abstractNumId w:val="2"/>
  </w:num>
  <w:num w:numId="5" w16cid:durableId="401027062">
    <w:abstractNumId w:val="2"/>
  </w:num>
  <w:num w:numId="6" w16cid:durableId="1507087706">
    <w:abstractNumId w:val="2"/>
  </w:num>
  <w:num w:numId="7" w16cid:durableId="2016880944">
    <w:abstractNumId w:val="2"/>
  </w:num>
  <w:num w:numId="8" w16cid:durableId="618026785">
    <w:abstractNumId w:val="2"/>
  </w:num>
  <w:num w:numId="9" w16cid:durableId="1889954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139755">
    <w:abstractNumId w:val="2"/>
  </w:num>
  <w:num w:numId="11" w16cid:durableId="51273720">
    <w:abstractNumId w:val="2"/>
  </w:num>
  <w:num w:numId="12" w16cid:durableId="51662813">
    <w:abstractNumId w:val="2"/>
  </w:num>
  <w:num w:numId="13" w16cid:durableId="150393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11A2"/>
    <w:rsid w:val="000059CD"/>
    <w:rsid w:val="000411A2"/>
    <w:rsid w:val="002028C0"/>
    <w:rsid w:val="003E6F7A"/>
    <w:rsid w:val="003F113D"/>
    <w:rsid w:val="00430EAA"/>
    <w:rsid w:val="005F5514"/>
    <w:rsid w:val="00762976"/>
    <w:rsid w:val="007B293B"/>
    <w:rsid w:val="007D262C"/>
    <w:rsid w:val="00B47895"/>
    <w:rsid w:val="00C30AE1"/>
    <w:rsid w:val="00C409DA"/>
    <w:rsid w:val="00C84AB0"/>
    <w:rsid w:val="00CB0275"/>
    <w:rsid w:val="00CE1F6D"/>
    <w:rsid w:val="00DE01E6"/>
    <w:rsid w:val="00E5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F74"/>
  <w15:docId w15:val="{205D3589-29DD-4542-9876-7CE5D1A1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Bullet">
    <w:name w:val="List Bullet"/>
    <w:basedOn w:val="Normal"/>
    <w:rsid w:val="003F113D"/>
    <w:pPr>
      <w:numPr>
        <w:numId w:val="13"/>
      </w:numPr>
      <w:contextualSpacing/>
    </w:pPr>
  </w:style>
  <w:style w:type="paragraph" w:styleId="Header">
    <w:name w:val="header"/>
    <w:basedOn w:val="Normal"/>
    <w:link w:val="HeaderChar"/>
    <w:rsid w:val="00DE01E6"/>
    <w:pPr>
      <w:tabs>
        <w:tab w:val="center" w:pos="4680"/>
        <w:tab w:val="right" w:pos="9360"/>
      </w:tabs>
      <w:spacing w:after="0"/>
    </w:pPr>
  </w:style>
  <w:style w:type="character" w:customStyle="1" w:styleId="HeaderChar">
    <w:name w:val="Header Char"/>
    <w:basedOn w:val="DefaultParagraphFont"/>
    <w:link w:val="Header"/>
    <w:rsid w:val="00DE01E6"/>
  </w:style>
  <w:style w:type="paragraph" w:styleId="Footer">
    <w:name w:val="footer"/>
    <w:basedOn w:val="Normal"/>
    <w:link w:val="FooterChar"/>
    <w:rsid w:val="00DE01E6"/>
    <w:pPr>
      <w:tabs>
        <w:tab w:val="center" w:pos="4680"/>
        <w:tab w:val="right" w:pos="9360"/>
      </w:tabs>
      <w:spacing w:after="0"/>
    </w:pPr>
  </w:style>
  <w:style w:type="character" w:customStyle="1" w:styleId="FooterChar">
    <w:name w:val="Footer Char"/>
    <w:basedOn w:val="DefaultParagraphFont"/>
    <w:link w:val="Footer"/>
    <w:rsid w:val="00DE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5F7942-A2A7-3F46-AC03-B2F774CDFFFF}">
  <we:reference id="WA200010453" version="1.0.0.1" store="Omex" storeType="OMEX"/>
  <we:alternateReferences>
    <we:reference id="WA200010453" version="1.0.0.1" store="WA200010453" storeType="OMEX"/>
  </we:alternateReferences>
  <we:properties>
    <we:property name="claude.fileId" value="&quot;72554c44-8ce3-4350-88eb-06681e9a424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29c01-e331-46af-8f84-09bea977ed00">
      <Terms xmlns="http://schemas.microsoft.com/office/infopath/2007/PartnerControls"/>
    </lcf76f155ced4ddcb4097134ff3c332f>
    <_ip_UnifiedCompliancePolicyUIAction xmlns="http://schemas.microsoft.com/sharepoint/v3" xsi:nil="true"/>
    <TaxCatchAll xmlns="0b6a0b30-4523-4899-95a0-946babcdb6c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B170F55A8EC74185BD611F05A04793" ma:contentTypeVersion="16" ma:contentTypeDescription="Create a new document." ma:contentTypeScope="" ma:versionID="3cb44b77b5141ffdb9b2bf347b988578">
  <xsd:schema xmlns:xsd="http://www.w3.org/2001/XMLSchema" xmlns:xs="http://www.w3.org/2001/XMLSchema" xmlns:p="http://schemas.microsoft.com/office/2006/metadata/properties" xmlns:ns1="http://schemas.microsoft.com/sharepoint/v3" xmlns:ns2="53729c01-e331-46af-8f84-09bea977ed00" xmlns:ns3="0b6a0b30-4523-4899-95a0-946babcdb6cb" targetNamespace="http://schemas.microsoft.com/office/2006/metadata/properties" ma:root="true" ma:fieldsID="13d8d5c55ea586b5b753ed3878dad629" ns1:_="" ns2:_="" ns3:_="">
    <xsd:import namespace="http://schemas.microsoft.com/sharepoint/v3"/>
    <xsd:import namespace="53729c01-e331-46af-8f84-09bea977ed00"/>
    <xsd:import namespace="0b6a0b30-4523-4899-95a0-946babcdb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29c01-e331-46af-8f84-09bea977e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ef40d5-b715-412d-bec7-270c581220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a0b30-4523-4899-95a0-946babcdb6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baf980-de20-41f9-84cd-56410328c1cb}" ma:internalName="TaxCatchAll" ma:showField="CatchAllData" ma:web="0b6a0b30-4523-4899-95a0-946babcdb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6E7F1-BFC2-4C78-BA03-C6204764E0AC}">
  <ds:schemaRefs>
    <ds:schemaRef ds:uri="http://schemas.microsoft.com/office/2006/metadata/properties"/>
    <ds:schemaRef ds:uri="http://schemas.microsoft.com/office/infopath/2007/PartnerControls"/>
    <ds:schemaRef ds:uri="53729c01-e331-46af-8f84-09bea977ed00"/>
    <ds:schemaRef ds:uri="http://schemas.microsoft.com/sharepoint/v3"/>
    <ds:schemaRef ds:uri="0b6a0b30-4523-4899-95a0-946babcdb6cb"/>
  </ds:schemaRefs>
</ds:datastoreItem>
</file>

<file path=customXml/itemProps2.xml><?xml version="1.0" encoding="utf-8"?>
<ds:datastoreItem xmlns:ds="http://schemas.openxmlformats.org/officeDocument/2006/customXml" ds:itemID="{24FA4A94-75DA-4359-86E6-B86078530F4D}">
  <ds:schemaRefs>
    <ds:schemaRef ds:uri="http://schemas.microsoft.com/sharepoint/v3/contenttype/forms"/>
  </ds:schemaRefs>
</ds:datastoreItem>
</file>

<file path=customXml/itemProps3.xml><?xml version="1.0" encoding="utf-8"?>
<ds:datastoreItem xmlns:ds="http://schemas.openxmlformats.org/officeDocument/2006/customXml" ds:itemID="{6A4F1884-BAD3-4C3C-8CCB-6148D7DA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729c01-e331-46af-8f84-09bea977ed00"/>
    <ds:schemaRef ds:uri="0b6a0b30-4523-4899-95a0-946babcdb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1709</Words>
  <Characters>10564</Characters>
  <Application>Microsoft Office Word</Application>
  <DocSecurity>0</DocSecurity>
  <Lines>192</Lines>
  <Paragraphs>136</Paragraphs>
  <ScaleCrop>false</ScaleCrop>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formal de acceso a información pública</dc:title>
  <dc:creator>Banco Mundial — Oficina Bolivia</dc:creator>
  <cp:keywords/>
  <cp:lastModifiedBy>Juan Carlos Muñoz Mora</cp:lastModifiedBy>
  <cp:revision>18</cp:revision>
  <cp:lastPrinted>2026-04-23T07:17:00Z</cp:lastPrinted>
  <dcterms:created xsi:type="dcterms:W3CDTF">2026-04-23T02:36:00Z</dcterms:created>
  <dcterms:modified xsi:type="dcterms:W3CDTF">2026-04-23T07:28:00Z</dcterms:modified>
  <dc:language>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11pt</vt:lpwstr>
  </property>
  <property fmtid="{D5CDD505-2E9C-101B-9397-08002B2CF9AE}" pid="3" name="geometry">
    <vt:lpwstr>margin=2.5cm</vt:lpwstr>
  </property>
  <property fmtid="{D5CDD505-2E9C-101B-9397-08002B2CF9AE}" pid="4" name="subtitle">
    <vt:lpwstr>Agricultural Public Expenditure Review Bolivia 2026</vt:lpwstr>
  </property>
  <property fmtid="{D5CDD505-2E9C-101B-9397-08002B2CF9AE}" pid="5" name="ContentTypeId">
    <vt:lpwstr>0x010100EAB170F55A8EC74185BD611F05A04793</vt:lpwstr>
  </property>
  <property fmtid="{D5CDD505-2E9C-101B-9397-08002B2CF9AE}" pid="6" name="MediaServiceImageTags">
    <vt:lpwstr/>
  </property>
</Properties>
</file>